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81A87E" w14:textId="5B00A526" w:rsidR="00266208" w:rsidRPr="005231DC" w:rsidRDefault="00266208" w:rsidP="00266208">
      <w:pPr>
        <w:rPr>
          <w:rFonts w:asciiTheme="majorHAnsi" w:hAnsiTheme="majorHAnsi" w:cstheme="majorHAnsi"/>
          <w:b/>
          <w:sz w:val="28"/>
          <w:szCs w:val="28"/>
        </w:rPr>
      </w:pPr>
      <w:r w:rsidRPr="005231DC">
        <w:rPr>
          <w:rFonts w:asciiTheme="majorHAnsi" w:hAnsiTheme="majorHAnsi" w:cstheme="majorHAnsi"/>
          <w:b/>
          <w:sz w:val="28"/>
          <w:szCs w:val="28"/>
        </w:rPr>
        <w:t xml:space="preserve">Instructions: </w:t>
      </w:r>
    </w:p>
    <w:p w14:paraId="42CC8197" w14:textId="6899B580" w:rsidR="00266208" w:rsidRPr="005231DC" w:rsidRDefault="00266208" w:rsidP="005231DC">
      <w:pPr>
        <w:pStyle w:val="ListParagraph"/>
        <w:numPr>
          <w:ilvl w:val="0"/>
          <w:numId w:val="4"/>
        </w:numPr>
        <w:ind w:left="450"/>
        <w:rPr>
          <w:rFonts w:asciiTheme="majorHAnsi" w:hAnsiTheme="majorHAnsi" w:cstheme="majorHAnsi"/>
          <w:bCs/>
        </w:rPr>
      </w:pPr>
      <w:r w:rsidRPr="005231DC">
        <w:rPr>
          <w:rFonts w:asciiTheme="majorHAnsi" w:hAnsiTheme="majorHAnsi" w:cstheme="majorHAnsi"/>
          <w:bCs/>
        </w:rPr>
        <w:t xml:space="preserve">Please document your reflections as you </w:t>
      </w:r>
      <w:r w:rsidR="00C33AF8" w:rsidRPr="005231DC">
        <w:rPr>
          <w:rFonts w:asciiTheme="majorHAnsi" w:hAnsiTheme="majorHAnsi" w:cstheme="majorHAnsi"/>
          <w:bCs/>
        </w:rPr>
        <w:t>participate with</w:t>
      </w:r>
      <w:r w:rsidRPr="005231DC">
        <w:rPr>
          <w:rFonts w:asciiTheme="majorHAnsi" w:hAnsiTheme="majorHAnsi" w:cstheme="majorHAnsi"/>
          <w:bCs/>
        </w:rPr>
        <w:t xml:space="preserve"> the challenge</w:t>
      </w:r>
      <w:r w:rsidR="00921BD9" w:rsidRPr="005231DC">
        <w:rPr>
          <w:rFonts w:asciiTheme="majorHAnsi" w:hAnsiTheme="majorHAnsi" w:cstheme="majorHAnsi"/>
          <w:bCs/>
        </w:rPr>
        <w:t xml:space="preserve">. The reflection </w:t>
      </w:r>
      <w:r w:rsidR="00BE30AB" w:rsidRPr="005231DC">
        <w:rPr>
          <w:rFonts w:asciiTheme="majorHAnsi" w:hAnsiTheme="majorHAnsi" w:cstheme="majorHAnsi"/>
          <w:bCs/>
        </w:rPr>
        <w:t>log</w:t>
      </w:r>
      <w:r w:rsidR="00921BD9" w:rsidRPr="005231DC">
        <w:rPr>
          <w:rFonts w:asciiTheme="majorHAnsi" w:hAnsiTheme="majorHAnsi" w:cstheme="majorHAnsi"/>
          <w:bCs/>
        </w:rPr>
        <w:t xml:space="preserve"> is yours to keep as a resource for discussion</w:t>
      </w:r>
      <w:r w:rsidR="00252E26" w:rsidRPr="005231DC">
        <w:rPr>
          <w:rFonts w:asciiTheme="majorHAnsi" w:hAnsiTheme="majorHAnsi" w:cstheme="majorHAnsi"/>
          <w:bCs/>
        </w:rPr>
        <w:t>s</w:t>
      </w:r>
      <w:r w:rsidR="00921BD9" w:rsidRPr="005231DC">
        <w:rPr>
          <w:rFonts w:asciiTheme="majorHAnsi" w:hAnsiTheme="majorHAnsi" w:cstheme="majorHAnsi"/>
          <w:bCs/>
        </w:rPr>
        <w:t xml:space="preserve"> and further exploratio</w:t>
      </w:r>
      <w:r w:rsidR="00BE30AB" w:rsidRPr="005231DC">
        <w:rPr>
          <w:rFonts w:asciiTheme="majorHAnsi" w:hAnsiTheme="majorHAnsi" w:cstheme="majorHAnsi"/>
          <w:bCs/>
        </w:rPr>
        <w:t>n.</w:t>
      </w:r>
      <w:r w:rsidR="00656A8A" w:rsidRPr="005231DC">
        <w:rPr>
          <w:rFonts w:asciiTheme="majorHAnsi" w:hAnsiTheme="majorHAnsi" w:cstheme="majorHAnsi"/>
          <w:bCs/>
        </w:rPr>
        <w:t xml:space="preserve"> Some individuals like to jot down notes from the daily challenges and/or reflect on the week</w:t>
      </w:r>
      <w:r w:rsidR="00C33AF8" w:rsidRPr="005231DC">
        <w:rPr>
          <w:rFonts w:asciiTheme="majorHAnsi" w:hAnsiTheme="majorHAnsi" w:cstheme="majorHAnsi"/>
          <w:bCs/>
        </w:rPr>
        <w:t xml:space="preserve">. </w:t>
      </w:r>
    </w:p>
    <w:p w14:paraId="6D010EE2" w14:textId="1382A2A5" w:rsidR="00877D69" w:rsidRPr="005231DC" w:rsidRDefault="00266208" w:rsidP="005231DC">
      <w:pPr>
        <w:pStyle w:val="ListParagraph"/>
        <w:numPr>
          <w:ilvl w:val="0"/>
          <w:numId w:val="4"/>
        </w:numPr>
        <w:ind w:left="450"/>
        <w:rPr>
          <w:rFonts w:asciiTheme="majorHAnsi" w:hAnsiTheme="majorHAnsi" w:cstheme="majorHAnsi"/>
          <w:bCs/>
        </w:rPr>
      </w:pPr>
      <w:r w:rsidRPr="005231DC">
        <w:rPr>
          <w:rFonts w:asciiTheme="majorHAnsi" w:hAnsiTheme="majorHAnsi" w:cstheme="majorHAnsi"/>
          <w:bCs/>
          <w:lang w:val="en"/>
        </w:rPr>
        <w:t>Us</w:t>
      </w:r>
      <w:r w:rsidR="00D0098C" w:rsidRPr="005231DC">
        <w:rPr>
          <w:rFonts w:asciiTheme="majorHAnsi" w:hAnsiTheme="majorHAnsi" w:cstheme="majorHAnsi"/>
          <w:bCs/>
          <w:lang w:val="en"/>
        </w:rPr>
        <w:t>e</w:t>
      </w:r>
      <w:r w:rsidRPr="005231DC">
        <w:rPr>
          <w:rFonts w:asciiTheme="majorHAnsi" w:hAnsiTheme="majorHAnsi" w:cstheme="majorHAnsi"/>
          <w:bCs/>
          <w:lang w:val="en"/>
        </w:rPr>
        <w:t xml:space="preserve"> the </w:t>
      </w:r>
      <w:r w:rsidR="005231DC" w:rsidRPr="005231DC">
        <w:rPr>
          <w:rFonts w:asciiTheme="majorHAnsi" w:hAnsiTheme="majorHAnsi" w:cstheme="majorHAnsi"/>
          <w:bCs/>
          <w:lang w:val="en"/>
        </w:rPr>
        <w:t>R</w:t>
      </w:r>
      <w:r w:rsidRPr="005231DC">
        <w:rPr>
          <w:rFonts w:asciiTheme="majorHAnsi" w:hAnsiTheme="majorHAnsi" w:cstheme="majorHAnsi"/>
          <w:bCs/>
          <w:lang w:val="en"/>
        </w:rPr>
        <w:t xml:space="preserve">eflection </w:t>
      </w:r>
      <w:r w:rsidR="005231DC" w:rsidRPr="005231DC">
        <w:rPr>
          <w:rFonts w:asciiTheme="majorHAnsi" w:hAnsiTheme="majorHAnsi" w:cstheme="majorHAnsi"/>
          <w:bCs/>
          <w:lang w:val="en"/>
        </w:rPr>
        <w:t>L</w:t>
      </w:r>
      <w:r w:rsidR="00D9314D" w:rsidRPr="005231DC">
        <w:rPr>
          <w:rFonts w:asciiTheme="majorHAnsi" w:hAnsiTheme="majorHAnsi" w:cstheme="majorHAnsi"/>
          <w:bCs/>
          <w:lang w:val="en"/>
        </w:rPr>
        <w:t>og</w:t>
      </w:r>
      <w:r w:rsidRPr="005231DC">
        <w:rPr>
          <w:rFonts w:asciiTheme="majorHAnsi" w:hAnsiTheme="majorHAnsi" w:cstheme="majorHAnsi"/>
          <w:bCs/>
          <w:lang w:val="en"/>
        </w:rPr>
        <w:t xml:space="preserve">, </w:t>
      </w:r>
      <w:r w:rsidR="00D43E6A" w:rsidRPr="005231DC">
        <w:rPr>
          <w:rFonts w:asciiTheme="majorHAnsi" w:hAnsiTheme="majorHAnsi" w:cstheme="majorHAnsi"/>
          <w:bCs/>
          <w:lang w:val="en"/>
        </w:rPr>
        <w:t xml:space="preserve">to reflect on what you watch, read, </w:t>
      </w:r>
      <w:r w:rsidR="00D0098C" w:rsidRPr="005231DC">
        <w:rPr>
          <w:rFonts w:asciiTheme="majorHAnsi" w:hAnsiTheme="majorHAnsi" w:cstheme="majorHAnsi"/>
          <w:bCs/>
          <w:lang w:val="en"/>
        </w:rPr>
        <w:t>notice,</w:t>
      </w:r>
      <w:r w:rsidR="00D43E6A" w:rsidRPr="005231DC">
        <w:rPr>
          <w:rFonts w:asciiTheme="majorHAnsi" w:hAnsiTheme="majorHAnsi" w:cstheme="majorHAnsi"/>
          <w:bCs/>
          <w:lang w:val="en"/>
        </w:rPr>
        <w:t xml:space="preserve"> and </w:t>
      </w:r>
      <w:r w:rsidR="00D0098C" w:rsidRPr="005231DC">
        <w:rPr>
          <w:rFonts w:asciiTheme="majorHAnsi" w:hAnsiTheme="majorHAnsi" w:cstheme="majorHAnsi"/>
          <w:bCs/>
          <w:lang w:val="en"/>
        </w:rPr>
        <w:t>act on during and after the challenge</w:t>
      </w:r>
      <w:r w:rsidRPr="005231DC">
        <w:rPr>
          <w:rFonts w:asciiTheme="majorHAnsi" w:hAnsiTheme="majorHAnsi" w:cstheme="majorHAnsi"/>
          <w:bCs/>
          <w:lang w:val="en"/>
        </w:rPr>
        <w:t xml:space="preserve">. </w:t>
      </w:r>
      <w:r w:rsidR="00252E26" w:rsidRPr="005231DC">
        <w:rPr>
          <w:rFonts w:asciiTheme="majorHAnsi" w:hAnsiTheme="majorHAnsi" w:cstheme="majorHAnsi"/>
          <w:bCs/>
          <w:lang w:val="en"/>
        </w:rPr>
        <w:t>W</w:t>
      </w:r>
      <w:r w:rsidRPr="005231DC">
        <w:rPr>
          <w:rFonts w:asciiTheme="majorHAnsi" w:hAnsiTheme="majorHAnsi" w:cstheme="majorHAnsi"/>
          <w:bCs/>
          <w:lang w:val="en"/>
        </w:rPr>
        <w:t>rite a brief reflection</w:t>
      </w:r>
      <w:r w:rsidR="00D43E6A" w:rsidRPr="005231DC">
        <w:rPr>
          <w:rFonts w:asciiTheme="majorHAnsi" w:hAnsiTheme="majorHAnsi" w:cstheme="majorHAnsi"/>
          <w:bCs/>
          <w:lang w:val="en"/>
        </w:rPr>
        <w:t xml:space="preserve"> on the day and/or week and consider </w:t>
      </w:r>
      <w:r w:rsidR="005231DC" w:rsidRPr="005231DC">
        <w:rPr>
          <w:rFonts w:asciiTheme="majorHAnsi" w:hAnsiTheme="majorHAnsi" w:cstheme="majorHAnsi"/>
          <w:bCs/>
          <w:lang w:val="en"/>
        </w:rPr>
        <w:t>including</w:t>
      </w:r>
      <w:r w:rsidR="00D43E6A" w:rsidRPr="005231DC">
        <w:rPr>
          <w:rFonts w:asciiTheme="majorHAnsi" w:hAnsiTheme="majorHAnsi" w:cstheme="majorHAnsi"/>
          <w:bCs/>
          <w:lang w:val="en"/>
        </w:rPr>
        <w:t xml:space="preserve"> notes on your main takeaways</w:t>
      </w:r>
      <w:r w:rsidR="00C33AF8" w:rsidRPr="005231DC">
        <w:rPr>
          <w:rFonts w:asciiTheme="majorHAnsi" w:hAnsiTheme="majorHAnsi" w:cstheme="majorHAnsi"/>
          <w:bCs/>
          <w:lang w:val="en"/>
        </w:rPr>
        <w:t xml:space="preserve"> and favorite resources</w:t>
      </w:r>
      <w:r w:rsidRPr="005231DC">
        <w:rPr>
          <w:rFonts w:asciiTheme="majorHAnsi" w:hAnsiTheme="majorHAnsi" w:cstheme="majorHAnsi"/>
          <w:bCs/>
          <w:lang w:val="en"/>
        </w:rPr>
        <w:t>.</w:t>
      </w:r>
      <w:r w:rsidR="00A02FC5" w:rsidRPr="005231DC">
        <w:rPr>
          <w:rFonts w:asciiTheme="majorHAnsi" w:hAnsiTheme="majorHAnsi" w:cstheme="majorHAnsi"/>
          <w:bCs/>
          <w:lang w:val="en"/>
        </w:rPr>
        <w:t xml:space="preserve"> </w:t>
      </w:r>
      <w:r w:rsidR="00656A8A" w:rsidRPr="005231DC">
        <w:rPr>
          <w:rFonts w:asciiTheme="majorHAnsi" w:hAnsiTheme="majorHAnsi" w:cstheme="majorHAnsi"/>
          <w:bCs/>
        </w:rPr>
        <w:t>We recommend utilizing</w:t>
      </w:r>
      <w:r w:rsidR="00A02FC5" w:rsidRPr="005231DC">
        <w:rPr>
          <w:rFonts w:asciiTheme="majorHAnsi" w:hAnsiTheme="majorHAnsi" w:cstheme="majorHAnsi"/>
          <w:bCs/>
        </w:rPr>
        <w:t xml:space="preserve"> </w:t>
      </w:r>
      <w:r w:rsidR="00BE30AB" w:rsidRPr="005231DC">
        <w:rPr>
          <w:rFonts w:asciiTheme="majorHAnsi" w:hAnsiTheme="majorHAnsi" w:cstheme="majorHAnsi"/>
          <w:bCs/>
        </w:rPr>
        <w:t>the</w:t>
      </w:r>
      <w:r w:rsidR="005231DC" w:rsidRPr="005231DC">
        <w:rPr>
          <w:rFonts w:asciiTheme="majorHAnsi" w:hAnsiTheme="majorHAnsi" w:cstheme="majorHAnsi"/>
          <w:bCs/>
        </w:rPr>
        <w:t xml:space="preserve"> Challenge Ladder of Engagement Chart </w:t>
      </w:r>
      <w:r w:rsidR="00BE30AB" w:rsidRPr="005231DC">
        <w:rPr>
          <w:rFonts w:asciiTheme="majorHAnsi" w:hAnsiTheme="majorHAnsi" w:cstheme="majorHAnsi"/>
          <w:bCs/>
        </w:rPr>
        <w:t xml:space="preserve">and </w:t>
      </w:r>
      <w:r w:rsidR="005231DC" w:rsidRPr="005231DC">
        <w:rPr>
          <w:rFonts w:asciiTheme="majorHAnsi" w:hAnsiTheme="majorHAnsi" w:cstheme="majorHAnsi"/>
          <w:bCs/>
        </w:rPr>
        <w:t>Reflection L</w:t>
      </w:r>
      <w:r w:rsidR="00BE30AB" w:rsidRPr="005231DC">
        <w:rPr>
          <w:rFonts w:asciiTheme="majorHAnsi" w:hAnsiTheme="majorHAnsi" w:cstheme="majorHAnsi"/>
          <w:bCs/>
        </w:rPr>
        <w:t>og</w:t>
      </w:r>
      <w:r w:rsidR="00A02FC5" w:rsidRPr="005231DC">
        <w:rPr>
          <w:rFonts w:asciiTheme="majorHAnsi" w:hAnsiTheme="majorHAnsi" w:cstheme="majorHAnsi"/>
          <w:bCs/>
        </w:rPr>
        <w:t xml:space="preserve"> to </w:t>
      </w:r>
      <w:r w:rsidR="005231DC" w:rsidRPr="005231DC">
        <w:rPr>
          <w:rFonts w:asciiTheme="majorHAnsi" w:hAnsiTheme="majorHAnsi" w:cstheme="majorHAnsi"/>
          <w:bCs/>
        </w:rPr>
        <w:t xml:space="preserve">chart </w:t>
      </w:r>
      <w:r w:rsidR="00A02FC5" w:rsidRPr="005231DC">
        <w:rPr>
          <w:rFonts w:asciiTheme="majorHAnsi" w:hAnsiTheme="majorHAnsi" w:cstheme="majorHAnsi"/>
          <w:bCs/>
        </w:rPr>
        <w:t>your engagement</w:t>
      </w:r>
      <w:r w:rsidR="00497A1F" w:rsidRPr="005231DC">
        <w:rPr>
          <w:rFonts w:asciiTheme="majorHAnsi" w:hAnsiTheme="majorHAnsi" w:cstheme="majorHAnsi"/>
          <w:bCs/>
        </w:rPr>
        <w:t xml:space="preserve"> and experience</w:t>
      </w:r>
      <w:r w:rsidR="00A02FC5" w:rsidRPr="005231DC">
        <w:rPr>
          <w:rFonts w:asciiTheme="majorHAnsi" w:hAnsiTheme="majorHAnsi" w:cstheme="majorHAnsi"/>
          <w:bCs/>
        </w:rPr>
        <w:t xml:space="preserve"> </w:t>
      </w:r>
      <w:r w:rsidR="00656A8A" w:rsidRPr="005231DC">
        <w:rPr>
          <w:rFonts w:asciiTheme="majorHAnsi" w:hAnsiTheme="majorHAnsi" w:cstheme="majorHAnsi"/>
          <w:bCs/>
        </w:rPr>
        <w:t>throughout</w:t>
      </w:r>
      <w:r w:rsidR="00A02FC5" w:rsidRPr="005231DC">
        <w:rPr>
          <w:rFonts w:asciiTheme="majorHAnsi" w:hAnsiTheme="majorHAnsi" w:cstheme="majorHAnsi"/>
          <w:bCs/>
        </w:rPr>
        <w:t xml:space="preserve"> the Challenge.</w:t>
      </w:r>
      <w:r w:rsidR="005231DC">
        <w:rPr>
          <w:rFonts w:asciiTheme="majorHAnsi" w:hAnsiTheme="majorHAnsi" w:cstheme="majorHAnsi"/>
          <w:bCs/>
        </w:rPr>
        <w:t xml:space="preserve"> </w:t>
      </w:r>
      <w:r w:rsidR="00877D69" w:rsidRPr="005231DC">
        <w:rPr>
          <w:rFonts w:asciiTheme="majorHAnsi" w:hAnsiTheme="majorHAnsi" w:cstheme="majorHAnsi"/>
          <w:bCs/>
        </w:rPr>
        <w:t>At the end of each week</w:t>
      </w:r>
      <w:r w:rsidR="00C33AF8" w:rsidRPr="005231DC">
        <w:rPr>
          <w:rFonts w:asciiTheme="majorHAnsi" w:hAnsiTheme="majorHAnsi" w:cstheme="majorHAnsi"/>
          <w:bCs/>
        </w:rPr>
        <w:t>,</w:t>
      </w:r>
      <w:r w:rsidR="00877D69" w:rsidRPr="005231DC">
        <w:rPr>
          <w:rFonts w:asciiTheme="majorHAnsi" w:hAnsiTheme="majorHAnsi" w:cstheme="majorHAnsi"/>
          <w:bCs/>
        </w:rPr>
        <w:t xml:space="preserve"> </w:t>
      </w:r>
      <w:proofErr w:type="gramStart"/>
      <w:r w:rsidR="00877D69" w:rsidRPr="005231DC">
        <w:rPr>
          <w:rFonts w:asciiTheme="majorHAnsi" w:hAnsiTheme="majorHAnsi" w:cstheme="majorHAnsi"/>
          <w:bCs/>
        </w:rPr>
        <w:t>refer back</w:t>
      </w:r>
      <w:proofErr w:type="gramEnd"/>
      <w:r w:rsidR="00877D69" w:rsidRPr="005231DC">
        <w:rPr>
          <w:rFonts w:asciiTheme="majorHAnsi" w:hAnsiTheme="majorHAnsi" w:cstheme="majorHAnsi"/>
          <w:bCs/>
        </w:rPr>
        <w:t xml:space="preserve"> to the </w:t>
      </w:r>
      <w:r w:rsidR="00877D69" w:rsidRPr="00163209">
        <w:rPr>
          <w:rFonts w:asciiTheme="majorHAnsi" w:hAnsiTheme="majorHAnsi" w:cstheme="majorHAnsi"/>
          <w:bCs/>
        </w:rPr>
        <w:t>Challenge Ladder</w:t>
      </w:r>
      <w:r w:rsidR="00C33AF8" w:rsidRPr="00163209">
        <w:rPr>
          <w:rFonts w:asciiTheme="majorHAnsi" w:hAnsiTheme="majorHAnsi" w:cstheme="majorHAnsi"/>
          <w:bCs/>
        </w:rPr>
        <w:t xml:space="preserve"> of Engagement Chart</w:t>
      </w:r>
      <w:r w:rsidR="00877D69" w:rsidRPr="005231DC">
        <w:rPr>
          <w:rFonts w:asciiTheme="majorHAnsi" w:hAnsiTheme="majorHAnsi" w:cstheme="majorHAnsi"/>
          <w:bCs/>
        </w:rPr>
        <w:t xml:space="preserve"> to assess your level of participation. </w:t>
      </w:r>
      <w:r w:rsidR="005231DC" w:rsidRPr="005231DC">
        <w:rPr>
          <w:rFonts w:asciiTheme="majorHAnsi" w:hAnsiTheme="majorHAnsi" w:cstheme="majorHAnsi"/>
          <w:bCs/>
        </w:rPr>
        <w:t>Try to climb the ladder as the weeks go on!</w:t>
      </w:r>
    </w:p>
    <w:p w14:paraId="2DF7AC5E" w14:textId="6B84D6C6" w:rsidR="004F1F69" w:rsidRPr="005231DC" w:rsidRDefault="00BE30AB" w:rsidP="005231DC">
      <w:pPr>
        <w:pStyle w:val="ListParagraph"/>
        <w:numPr>
          <w:ilvl w:val="0"/>
          <w:numId w:val="4"/>
        </w:numPr>
        <w:ind w:left="450"/>
        <w:rPr>
          <w:rFonts w:asciiTheme="majorHAnsi" w:hAnsiTheme="majorHAnsi" w:cstheme="majorHAnsi"/>
          <w:bCs/>
        </w:rPr>
      </w:pPr>
      <w:r w:rsidRPr="005231DC">
        <w:rPr>
          <w:rFonts w:asciiTheme="majorHAnsi" w:hAnsiTheme="majorHAnsi" w:cstheme="majorHAnsi"/>
          <w:b/>
          <w:i/>
          <w:iCs/>
          <w:lang w:val="en"/>
        </w:rPr>
        <w:t>Tip:</w:t>
      </w:r>
      <w:r w:rsidRPr="005231DC">
        <w:rPr>
          <w:rFonts w:asciiTheme="majorHAnsi" w:hAnsiTheme="majorHAnsi" w:cstheme="majorHAnsi"/>
          <w:bCs/>
          <w:lang w:val="en"/>
        </w:rPr>
        <w:t xml:space="preserve"> </w:t>
      </w:r>
      <w:r w:rsidR="00252E26" w:rsidRPr="005231DC">
        <w:rPr>
          <w:rFonts w:asciiTheme="majorHAnsi" w:hAnsiTheme="majorHAnsi" w:cstheme="majorHAnsi"/>
          <w:bCs/>
          <w:lang w:val="en"/>
        </w:rPr>
        <w:t>Utilize a time that works best for you to reflect.</w:t>
      </w:r>
      <w:r w:rsidR="00B55156" w:rsidRPr="005231DC">
        <w:rPr>
          <w:rFonts w:asciiTheme="majorHAnsi" w:hAnsiTheme="majorHAnsi" w:cstheme="majorHAnsi"/>
          <w:bCs/>
          <w:lang w:val="en"/>
        </w:rPr>
        <w:t xml:space="preserve"> </w:t>
      </w:r>
      <w:r w:rsidR="00252E26" w:rsidRPr="005231DC">
        <w:rPr>
          <w:rFonts w:asciiTheme="majorHAnsi" w:hAnsiTheme="majorHAnsi" w:cstheme="majorHAnsi"/>
          <w:bCs/>
          <w:lang w:val="en"/>
        </w:rPr>
        <w:t>You can always revisit the additional resources if you have extra time.</w:t>
      </w:r>
    </w:p>
    <w:p w14:paraId="50DB5BA0" w14:textId="77777777" w:rsidR="004F1F69" w:rsidRPr="00D0098C" w:rsidRDefault="004F1F69" w:rsidP="004F1F69">
      <w:pPr>
        <w:jc w:val="center"/>
        <w:rPr>
          <w:b/>
          <w:sz w:val="36"/>
          <w:szCs w:val="36"/>
        </w:rPr>
      </w:pPr>
      <w:r w:rsidRPr="00D0098C">
        <w:rPr>
          <w:b/>
          <w:sz w:val="36"/>
          <w:szCs w:val="36"/>
        </w:rPr>
        <w:t>CHALLENGE LADDER OF ENGAGEMENT CHART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548"/>
        <w:gridCol w:w="1833"/>
        <w:gridCol w:w="2562"/>
        <w:gridCol w:w="2580"/>
        <w:gridCol w:w="2781"/>
        <w:gridCol w:w="3091"/>
      </w:tblGrid>
      <w:tr w:rsidR="004F1F69" w14:paraId="35AB98C9" w14:textId="77777777" w:rsidTr="002C2758">
        <w:trPr>
          <w:trHeight w:val="1125"/>
        </w:trPr>
        <w:tc>
          <w:tcPr>
            <w:tcW w:w="1548" w:type="dxa"/>
            <w:shd w:val="clear" w:color="auto" w:fill="BFBFBF" w:themeFill="background1" w:themeFillShade="BF"/>
          </w:tcPr>
          <w:p w14:paraId="0A56FCD1" w14:textId="77777777" w:rsidR="004F1F69" w:rsidRDefault="004F1F69" w:rsidP="002C2758">
            <w:r>
              <w:t>0</w:t>
            </w:r>
          </w:p>
        </w:tc>
        <w:tc>
          <w:tcPr>
            <w:tcW w:w="1833" w:type="dxa"/>
            <w:shd w:val="clear" w:color="auto" w:fill="4F81BD" w:themeFill="accent1"/>
          </w:tcPr>
          <w:p w14:paraId="462DA2C9" w14:textId="77777777" w:rsidR="004F1F69" w:rsidRPr="00FB0934" w:rsidRDefault="004F1F69" w:rsidP="002C2758">
            <w:pPr>
              <w:rPr>
                <w:b/>
                <w:bCs/>
                <w:color w:val="FFFFFF" w:themeColor="background1"/>
              </w:rPr>
            </w:pPr>
            <w:r w:rsidRPr="00FB0934">
              <w:rPr>
                <w:b/>
                <w:bCs/>
                <w:color w:val="FFFFFF" w:themeColor="background1"/>
              </w:rPr>
              <w:t xml:space="preserve"> 1</w:t>
            </w:r>
          </w:p>
          <w:p w14:paraId="5FCAD016" w14:textId="77777777" w:rsidR="004F1F69" w:rsidRPr="00FB0934" w:rsidRDefault="004F1F69" w:rsidP="002C2758">
            <w:pPr>
              <w:rPr>
                <w:color w:val="FFFFFF" w:themeColor="background1"/>
              </w:rPr>
            </w:pPr>
            <w:r w:rsidRPr="00FB0934">
              <w:rPr>
                <w:b/>
                <w:bCs/>
                <w:color w:val="FFFFFF" w:themeColor="background1"/>
              </w:rPr>
              <w:t>Paying Attention</w:t>
            </w:r>
          </w:p>
        </w:tc>
        <w:tc>
          <w:tcPr>
            <w:tcW w:w="2562" w:type="dxa"/>
            <w:shd w:val="clear" w:color="auto" w:fill="7030A0"/>
          </w:tcPr>
          <w:p w14:paraId="029DB862" w14:textId="77777777" w:rsidR="004F1F69" w:rsidRPr="00812AF7" w:rsidRDefault="004F1F69" w:rsidP="002C2758">
            <w:pPr>
              <w:rPr>
                <w:b/>
                <w:bCs/>
                <w:color w:val="FFFFFF" w:themeColor="background1"/>
              </w:rPr>
            </w:pPr>
            <w:r w:rsidRPr="00812AF7">
              <w:rPr>
                <w:b/>
                <w:bCs/>
                <w:color w:val="FFFFFF" w:themeColor="background1"/>
              </w:rPr>
              <w:t>2</w:t>
            </w:r>
          </w:p>
          <w:p w14:paraId="77B739A7" w14:textId="77777777" w:rsidR="004F1F69" w:rsidRPr="00812AF7" w:rsidRDefault="004F1F69" w:rsidP="002C2758">
            <w:pPr>
              <w:rPr>
                <w:color w:val="FFFFFF" w:themeColor="background1"/>
              </w:rPr>
            </w:pPr>
            <w:r w:rsidRPr="00812AF7">
              <w:rPr>
                <w:b/>
                <w:bCs/>
                <w:color w:val="FFFFFF" w:themeColor="background1"/>
              </w:rPr>
              <w:t>Participating/engaging</w:t>
            </w:r>
          </w:p>
        </w:tc>
        <w:tc>
          <w:tcPr>
            <w:tcW w:w="2580" w:type="dxa"/>
            <w:shd w:val="clear" w:color="auto" w:fill="C00000"/>
          </w:tcPr>
          <w:p w14:paraId="4B2BA266" w14:textId="77777777" w:rsidR="004F1F69" w:rsidRPr="00812AF7" w:rsidRDefault="004F1F69" w:rsidP="002C2758">
            <w:pPr>
              <w:rPr>
                <w:b/>
                <w:bCs/>
                <w:color w:val="FFFFFF" w:themeColor="background1"/>
              </w:rPr>
            </w:pPr>
            <w:r w:rsidRPr="00812AF7">
              <w:rPr>
                <w:b/>
                <w:bCs/>
                <w:color w:val="FFFFFF" w:themeColor="background1"/>
              </w:rPr>
              <w:t xml:space="preserve">3 </w:t>
            </w:r>
          </w:p>
          <w:p w14:paraId="6401EEA8" w14:textId="77777777" w:rsidR="004F1F69" w:rsidRPr="00812AF7" w:rsidRDefault="004F1F69" w:rsidP="002C2758">
            <w:pPr>
              <w:rPr>
                <w:color w:val="FFFFFF" w:themeColor="background1"/>
              </w:rPr>
            </w:pPr>
            <w:r w:rsidRPr="00812AF7">
              <w:rPr>
                <w:b/>
                <w:bCs/>
                <w:color w:val="FFFFFF" w:themeColor="background1"/>
              </w:rPr>
              <w:t xml:space="preserve">Contributing </w:t>
            </w:r>
          </w:p>
        </w:tc>
        <w:tc>
          <w:tcPr>
            <w:tcW w:w="2781" w:type="dxa"/>
            <w:shd w:val="clear" w:color="auto" w:fill="C0504D" w:themeFill="accent2"/>
          </w:tcPr>
          <w:p w14:paraId="392D8770" w14:textId="77777777" w:rsidR="004F1F69" w:rsidRDefault="004F1F69" w:rsidP="002C2758">
            <w:pPr>
              <w:rPr>
                <w:b/>
                <w:bCs/>
                <w:color w:val="FFFFFF" w:themeColor="background1"/>
              </w:rPr>
            </w:pPr>
            <w:r w:rsidRPr="00812AF7">
              <w:rPr>
                <w:b/>
                <w:bCs/>
                <w:color w:val="FFFFFF" w:themeColor="background1"/>
              </w:rPr>
              <w:t xml:space="preserve">4 </w:t>
            </w:r>
          </w:p>
          <w:p w14:paraId="22B19673" w14:textId="77777777" w:rsidR="004F1F69" w:rsidRPr="00812AF7" w:rsidRDefault="004F1F69" w:rsidP="002C2758">
            <w:pPr>
              <w:rPr>
                <w:b/>
                <w:bCs/>
                <w:color w:val="FFFFFF" w:themeColor="background1"/>
              </w:rPr>
            </w:pPr>
            <w:r w:rsidRPr="00812AF7">
              <w:rPr>
                <w:b/>
                <w:bCs/>
                <w:color w:val="FFFFFF" w:themeColor="background1"/>
              </w:rPr>
              <w:t xml:space="preserve">Committing/Doing </w:t>
            </w:r>
          </w:p>
        </w:tc>
        <w:tc>
          <w:tcPr>
            <w:tcW w:w="3091" w:type="dxa"/>
            <w:shd w:val="clear" w:color="auto" w:fill="FFFF00"/>
          </w:tcPr>
          <w:p w14:paraId="11E58D8D" w14:textId="77777777" w:rsidR="004F1F69" w:rsidRDefault="004F1F69" w:rsidP="002C2758">
            <w:pPr>
              <w:rPr>
                <w:b/>
                <w:bCs/>
              </w:rPr>
            </w:pPr>
            <w:r w:rsidRPr="00FB0934">
              <w:rPr>
                <w:b/>
                <w:bCs/>
              </w:rPr>
              <w:t xml:space="preserve">5 </w:t>
            </w:r>
          </w:p>
          <w:p w14:paraId="2E74108C" w14:textId="77777777" w:rsidR="004F1F69" w:rsidRPr="00FB0934" w:rsidRDefault="004F1F69" w:rsidP="002C2758">
            <w:pPr>
              <w:rPr>
                <w:b/>
                <w:bCs/>
              </w:rPr>
            </w:pPr>
            <w:r w:rsidRPr="00FB0934">
              <w:rPr>
                <w:b/>
                <w:bCs/>
              </w:rPr>
              <w:t xml:space="preserve">Action + Organizing </w:t>
            </w:r>
          </w:p>
        </w:tc>
      </w:tr>
      <w:tr w:rsidR="004F1F69" w14:paraId="79A41989" w14:textId="77777777" w:rsidTr="002C2758">
        <w:trPr>
          <w:trHeight w:val="5334"/>
        </w:trPr>
        <w:tc>
          <w:tcPr>
            <w:tcW w:w="1548" w:type="dxa"/>
            <w:shd w:val="clear" w:color="auto" w:fill="BFBFBF" w:themeFill="background1" w:themeFillShade="BF"/>
          </w:tcPr>
          <w:p w14:paraId="13112D44" w14:textId="77777777" w:rsidR="004F1F69" w:rsidRDefault="004F1F69" w:rsidP="002C2758">
            <w:r>
              <w:t xml:space="preserve">Not listening or paying attention or unable to engage </w:t>
            </w:r>
          </w:p>
        </w:tc>
        <w:tc>
          <w:tcPr>
            <w:tcW w:w="1833" w:type="dxa"/>
            <w:shd w:val="clear" w:color="auto" w:fill="B8CCE4" w:themeFill="accent1" w:themeFillTint="66"/>
          </w:tcPr>
          <w:p w14:paraId="15023FCE" w14:textId="77777777" w:rsidR="004F1F69" w:rsidRDefault="004F1F69" w:rsidP="002C2758">
            <w:r>
              <w:t>Reading prompts and checking out resources</w:t>
            </w:r>
          </w:p>
        </w:tc>
        <w:tc>
          <w:tcPr>
            <w:tcW w:w="2562" w:type="dxa"/>
            <w:shd w:val="clear" w:color="auto" w:fill="CBA9E5"/>
          </w:tcPr>
          <w:p w14:paraId="12567ADC" w14:textId="77777777" w:rsidR="004F1F69" w:rsidRDefault="004F1F69" w:rsidP="002C2758">
            <w:r>
              <w:t>Engaging with the daily challenge resources and/or sharing with colleagues/friends or other community forums</w:t>
            </w:r>
          </w:p>
        </w:tc>
        <w:tc>
          <w:tcPr>
            <w:tcW w:w="2580" w:type="dxa"/>
            <w:shd w:val="clear" w:color="auto" w:fill="FF7575"/>
          </w:tcPr>
          <w:p w14:paraId="1AB4062B" w14:textId="77777777" w:rsidR="004F1F69" w:rsidRDefault="004F1F69" w:rsidP="002C275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Sharing resources with folks </w:t>
            </w:r>
          </w:p>
          <w:p w14:paraId="075D5499" w14:textId="77777777" w:rsidR="004F1F69" w:rsidRDefault="004F1F69" w:rsidP="002C275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Writing in reflection log your experiences with the challenge </w:t>
            </w:r>
          </w:p>
          <w:p w14:paraId="2283352B" w14:textId="77777777" w:rsidR="004F1F69" w:rsidRDefault="004F1F69" w:rsidP="002C275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Engaging with the challenge discussion either internally or with CA4Health</w:t>
            </w:r>
          </w:p>
        </w:tc>
        <w:tc>
          <w:tcPr>
            <w:tcW w:w="2781" w:type="dxa"/>
            <w:shd w:val="clear" w:color="auto" w:fill="F6C09C"/>
          </w:tcPr>
          <w:p w14:paraId="1E9B8652" w14:textId="77777777" w:rsidR="004F1F69" w:rsidRDefault="004F1F69" w:rsidP="002C27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 xml:space="preserve">Initiating new conversations with new allies/accomplices </w:t>
            </w:r>
          </w:p>
          <w:p w14:paraId="4F7CA725" w14:textId="77777777" w:rsidR="004F1F69" w:rsidRDefault="004F1F69" w:rsidP="002C27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 xml:space="preserve">Interrupted an act or spoken word of othering, micro/macro aggression or injustice </w:t>
            </w:r>
          </w:p>
          <w:p w14:paraId="7C25087C" w14:textId="77777777" w:rsidR="004F1F69" w:rsidRDefault="004F1F69" w:rsidP="002C27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Asked a question seeking more clarity of someone’s statement or action</w:t>
            </w:r>
          </w:p>
        </w:tc>
        <w:tc>
          <w:tcPr>
            <w:tcW w:w="3091" w:type="dxa"/>
            <w:shd w:val="clear" w:color="auto" w:fill="FFFFC5"/>
          </w:tcPr>
          <w:p w14:paraId="33C37947" w14:textId="77777777" w:rsidR="004F1F69" w:rsidRDefault="004F1F69" w:rsidP="002C27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Pulling together event or action around Challenge topic areas of interest</w:t>
            </w:r>
          </w:p>
          <w:p w14:paraId="6D1078EC" w14:textId="77777777" w:rsidR="004F1F69" w:rsidRDefault="004F1F69" w:rsidP="002C27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 xml:space="preserve">Organize group to continue beyond the Challenge </w:t>
            </w:r>
          </w:p>
          <w:p w14:paraId="2BFBF7A9" w14:textId="77777777" w:rsidR="004F1F69" w:rsidRDefault="004F1F69" w:rsidP="002C27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 xml:space="preserve">Consider new approaches/strategies that center anti-racism/equity/justice </w:t>
            </w:r>
          </w:p>
          <w:p w14:paraId="7C58E708" w14:textId="652DCC2B" w:rsidR="004F1F69" w:rsidRDefault="004F1F69" w:rsidP="002C27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Join the CA4Health Same Boat Crew Monthly Discussion and/or continue dialogue around Racial Equity/Social Justice</w:t>
            </w:r>
          </w:p>
        </w:tc>
      </w:tr>
    </w:tbl>
    <w:p w14:paraId="5DB7022D" w14:textId="2F861723" w:rsidR="004F1F69" w:rsidRPr="00917A14" w:rsidRDefault="004F1F69" w:rsidP="00917A14">
      <w:pPr>
        <w:jc w:val="center"/>
      </w:pPr>
      <w:r w:rsidRPr="00E07E2C">
        <w:rPr>
          <w:sz w:val="20"/>
          <w:szCs w:val="20"/>
        </w:rPr>
        <w:t xml:space="preserve">(Adapted from partners who developed </w:t>
      </w:r>
      <w:hyperlink r:id="rId7" w:history="1">
        <w:r w:rsidRPr="00E07E2C">
          <w:rPr>
            <w:rStyle w:val="Hyperlink"/>
            <w:sz w:val="20"/>
            <w:szCs w:val="20"/>
          </w:rPr>
          <w:t>Food Solutions New England 21-Day Racial Habit Challenge</w:t>
        </w:r>
      </w:hyperlink>
      <w:r w:rsidRPr="00E07E2C">
        <w:rPr>
          <w:sz w:val="20"/>
          <w:szCs w:val="20"/>
        </w:rPr>
        <w:t>)</w:t>
      </w:r>
    </w:p>
    <w:p w14:paraId="568ED09E" w14:textId="725E715C" w:rsidR="00266208" w:rsidRPr="00605CA9" w:rsidRDefault="00266208" w:rsidP="00266208">
      <w:pPr>
        <w:jc w:val="center"/>
        <w:rPr>
          <w:b/>
          <w:sz w:val="26"/>
          <w:szCs w:val="26"/>
        </w:rPr>
      </w:pPr>
      <w:r w:rsidRPr="00605CA9">
        <w:rPr>
          <w:b/>
          <w:sz w:val="26"/>
          <w:szCs w:val="26"/>
        </w:rPr>
        <w:lastRenderedPageBreak/>
        <w:t xml:space="preserve">CA4Health’s 21-Day Racial Equity &amp; Social Justice </w:t>
      </w:r>
      <w:r>
        <w:rPr>
          <w:b/>
          <w:sz w:val="26"/>
          <w:szCs w:val="26"/>
        </w:rPr>
        <w:t xml:space="preserve">Engagement, </w:t>
      </w:r>
      <w:r w:rsidRPr="00605CA9">
        <w:rPr>
          <w:b/>
          <w:sz w:val="26"/>
          <w:szCs w:val="26"/>
        </w:rPr>
        <w:t>Learning</w:t>
      </w:r>
      <w:r>
        <w:rPr>
          <w:b/>
          <w:sz w:val="26"/>
          <w:szCs w:val="26"/>
        </w:rPr>
        <w:t>,</w:t>
      </w:r>
      <w:r w:rsidRPr="00605CA9">
        <w:rPr>
          <w:b/>
          <w:sz w:val="26"/>
          <w:szCs w:val="26"/>
        </w:rPr>
        <w:t xml:space="preserve"> and Reflection </w:t>
      </w:r>
      <w:r w:rsidR="00D9314D">
        <w:rPr>
          <w:b/>
          <w:sz w:val="26"/>
          <w:szCs w:val="26"/>
        </w:rPr>
        <w:t>Log</w:t>
      </w:r>
      <w:r w:rsidRPr="00605CA9">
        <w:rPr>
          <w:b/>
          <w:sz w:val="26"/>
          <w:szCs w:val="26"/>
        </w:rPr>
        <w:t xml:space="preserve"> </w:t>
      </w:r>
    </w:p>
    <w:tbl>
      <w:tblPr>
        <w:tblStyle w:val="a"/>
        <w:tblW w:w="130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10170"/>
      </w:tblGrid>
      <w:tr w:rsidR="00D0098C" w14:paraId="2B80A5EB" w14:textId="77777777" w:rsidTr="00B21714">
        <w:trPr>
          <w:jc w:val="center"/>
        </w:trPr>
        <w:tc>
          <w:tcPr>
            <w:tcW w:w="287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32A79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DAY</w:t>
            </w:r>
          </w:p>
        </w:tc>
        <w:tc>
          <w:tcPr>
            <w:tcW w:w="1017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929AE" w14:textId="4EF6DC3D" w:rsidR="00D0098C" w:rsidRDefault="00B21714" w:rsidP="00B21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Reflect on any main takeaways, resources that moved you, experiences, and actions.</w:t>
            </w:r>
          </w:p>
        </w:tc>
      </w:tr>
      <w:tr w:rsidR="00D0098C" w14:paraId="007F2758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9FA92" w14:textId="6D2271FC" w:rsidR="00D0098C" w:rsidRPr="00605CA9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1:</w:t>
            </w:r>
            <w:r>
              <w:rPr>
                <w:sz w:val="20"/>
                <w:szCs w:val="20"/>
              </w:rPr>
              <w:t xml:space="preserve"> Race, Ethnicity, and Nationality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4E8AD" w14:textId="58D23D2D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4D64E76C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4FD10" w14:textId="13C50FC1" w:rsidR="00D0098C" w:rsidRPr="00605CA9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2:</w:t>
            </w:r>
            <w:r>
              <w:rPr>
                <w:sz w:val="20"/>
                <w:szCs w:val="20"/>
              </w:rPr>
              <w:t xml:space="preserve"> </w:t>
            </w:r>
            <w:r w:rsidR="00B21714">
              <w:rPr>
                <w:sz w:val="20"/>
                <w:szCs w:val="20"/>
              </w:rPr>
              <w:t>Levels of Racism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C80C6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28F71133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EFC9E" w14:textId="2F2C1F08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3</w:t>
            </w:r>
            <w:r w:rsidR="00B21714" w:rsidRPr="00877D69">
              <w:rPr>
                <w:b/>
                <w:bCs/>
                <w:sz w:val="20"/>
                <w:szCs w:val="20"/>
              </w:rPr>
              <w:t>:</w:t>
            </w:r>
            <w:r w:rsidR="00B21714">
              <w:rPr>
                <w:sz w:val="20"/>
                <w:szCs w:val="20"/>
              </w:rPr>
              <w:t xml:space="preserve"> White Supremacy &amp; Privilege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4DFB6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01BB5AE8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BA154" w14:textId="4F4BDD1A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4</w:t>
            </w:r>
            <w:r w:rsidR="00B21714" w:rsidRPr="00877D69">
              <w:rPr>
                <w:b/>
                <w:bCs/>
                <w:sz w:val="20"/>
                <w:szCs w:val="20"/>
              </w:rPr>
              <w:t>:</w:t>
            </w:r>
            <w:r w:rsidR="00B21714">
              <w:rPr>
                <w:sz w:val="20"/>
                <w:szCs w:val="20"/>
              </w:rPr>
              <w:t xml:space="preserve"> Bias and Microaggression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96383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6CDFD23C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B203F" w14:textId="03D813A7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5</w:t>
            </w:r>
            <w:r w:rsidR="00B21714" w:rsidRPr="00877D69">
              <w:rPr>
                <w:b/>
                <w:bCs/>
                <w:sz w:val="20"/>
                <w:szCs w:val="20"/>
              </w:rPr>
              <w:t>:</w:t>
            </w:r>
            <w:r w:rsidR="00B21714">
              <w:rPr>
                <w:sz w:val="20"/>
                <w:szCs w:val="20"/>
              </w:rPr>
              <w:t xml:space="preserve"> Health Equity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7F5DC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6B119F1D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A2A28" w14:textId="77777777" w:rsidR="00D0098C" w:rsidRDefault="00D0098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Summary </w:t>
            </w:r>
            <w:r w:rsidRPr="00266208">
              <w:rPr>
                <w:b/>
                <w:bCs/>
                <w:sz w:val="20"/>
                <w:szCs w:val="20"/>
              </w:rPr>
              <w:t>Week 1</w:t>
            </w:r>
          </w:p>
          <w:p w14:paraId="1F22E43F" w14:textId="79845FBF" w:rsidR="00FB03EE" w:rsidRPr="00266208" w:rsidRDefault="00FB03EE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5DAA4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73F850A1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1356A" w14:textId="6BA8877F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6</w:t>
            </w:r>
            <w:r w:rsidR="00B21714" w:rsidRPr="00877D69">
              <w:rPr>
                <w:b/>
                <w:bCs/>
                <w:sz w:val="20"/>
                <w:szCs w:val="20"/>
              </w:rPr>
              <w:t>:</w:t>
            </w:r>
            <w:r w:rsidR="00B21714">
              <w:rPr>
                <w:sz w:val="20"/>
                <w:szCs w:val="20"/>
              </w:rPr>
              <w:t xml:space="preserve"> </w:t>
            </w:r>
            <w:r w:rsidR="00877D69">
              <w:rPr>
                <w:sz w:val="20"/>
                <w:szCs w:val="20"/>
              </w:rPr>
              <w:t>Immigration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F2CD9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02E8A1B1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A1B7D" w14:textId="6C075B30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7</w:t>
            </w:r>
            <w:r w:rsidR="00877D69" w:rsidRPr="00877D69">
              <w:rPr>
                <w:b/>
                <w:bCs/>
                <w:sz w:val="20"/>
                <w:szCs w:val="20"/>
              </w:rPr>
              <w:t>:</w:t>
            </w:r>
            <w:r w:rsidR="00877D69">
              <w:rPr>
                <w:sz w:val="20"/>
                <w:szCs w:val="20"/>
              </w:rPr>
              <w:t xml:space="preserve"> Housing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62DD2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6BC5354C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FB2F5" w14:textId="0C166E1D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8</w:t>
            </w:r>
            <w:r w:rsidR="00877D69" w:rsidRPr="00877D69">
              <w:rPr>
                <w:b/>
                <w:bCs/>
                <w:sz w:val="20"/>
                <w:szCs w:val="20"/>
              </w:rPr>
              <w:t>:</w:t>
            </w:r>
            <w:r w:rsidR="00877D69">
              <w:rPr>
                <w:sz w:val="20"/>
                <w:szCs w:val="20"/>
              </w:rPr>
              <w:t xml:space="preserve"> Environmental Justice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CE049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52A03650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AA138" w14:textId="64335A18" w:rsidR="00D0098C" w:rsidRPr="00605CA9" w:rsidRDefault="00D0098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9</w:t>
            </w:r>
            <w:r w:rsidR="00877D69" w:rsidRPr="00877D69">
              <w:rPr>
                <w:b/>
                <w:bCs/>
                <w:sz w:val="20"/>
                <w:szCs w:val="20"/>
              </w:rPr>
              <w:t>:</w:t>
            </w:r>
            <w:r w:rsidR="00877D69">
              <w:rPr>
                <w:sz w:val="20"/>
                <w:szCs w:val="20"/>
              </w:rPr>
              <w:t xml:space="preserve"> Food Security and Justice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85C0D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53B4E90D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081DD" w14:textId="406BC0BB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10</w:t>
            </w:r>
            <w:r w:rsidR="00877D69" w:rsidRPr="00877D69">
              <w:rPr>
                <w:b/>
                <w:bCs/>
                <w:sz w:val="20"/>
                <w:szCs w:val="20"/>
              </w:rPr>
              <w:t>:</w:t>
            </w:r>
            <w:r w:rsidR="00877D69">
              <w:rPr>
                <w:sz w:val="20"/>
                <w:szCs w:val="20"/>
              </w:rPr>
              <w:t xml:space="preserve"> Health and Wealth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2FD87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206DE38B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3F765" w14:textId="77777777" w:rsidR="00D0098C" w:rsidRDefault="00D0098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Summary</w:t>
            </w:r>
            <w:r w:rsidRPr="00266208">
              <w:rPr>
                <w:b/>
                <w:bCs/>
                <w:sz w:val="20"/>
                <w:szCs w:val="20"/>
              </w:rPr>
              <w:t xml:space="preserve"> Week 2</w:t>
            </w:r>
          </w:p>
          <w:p w14:paraId="3A026E5A" w14:textId="2C101F78" w:rsidR="00FB03EE" w:rsidRPr="00266208" w:rsidRDefault="00FB03EE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BBCFB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75C593C2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D7CB9" w14:textId="3E69B314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11</w:t>
            </w:r>
            <w:r w:rsidR="00B21714" w:rsidRPr="00877D69">
              <w:rPr>
                <w:b/>
                <w:bCs/>
                <w:sz w:val="20"/>
                <w:szCs w:val="20"/>
              </w:rPr>
              <w:t>:</w:t>
            </w:r>
            <w:r w:rsidR="00B21714">
              <w:rPr>
                <w:sz w:val="20"/>
                <w:szCs w:val="20"/>
              </w:rPr>
              <w:t xml:space="preserve"> Education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BF653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3FB7ADF5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26FDD" w14:textId="61C99E2A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12</w:t>
            </w:r>
            <w:r w:rsidR="00B21714" w:rsidRPr="00877D69">
              <w:rPr>
                <w:b/>
                <w:bCs/>
                <w:sz w:val="20"/>
                <w:szCs w:val="20"/>
              </w:rPr>
              <w:t>:</w:t>
            </w:r>
            <w:r w:rsidR="00B21714">
              <w:rPr>
                <w:sz w:val="20"/>
                <w:szCs w:val="20"/>
              </w:rPr>
              <w:t xml:space="preserve"> Employment Workplace Diversity and Inclusion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5FE4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71F06B81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95ADC" w14:textId="19C915BB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13</w:t>
            </w:r>
            <w:r w:rsidR="00B21714" w:rsidRPr="00877D69">
              <w:rPr>
                <w:b/>
                <w:bCs/>
                <w:sz w:val="20"/>
                <w:szCs w:val="20"/>
              </w:rPr>
              <w:t>:</w:t>
            </w:r>
            <w:r w:rsidR="00B21714">
              <w:rPr>
                <w:sz w:val="20"/>
                <w:szCs w:val="20"/>
              </w:rPr>
              <w:t xml:space="preserve"> Criminal Justice Policing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FBF73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5F6EB905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7F8C2" w14:textId="77777777" w:rsidR="00BC6AE1" w:rsidRDefault="00BC6AE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2F5924B5" w14:textId="75F783CB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14</w:t>
            </w:r>
            <w:r w:rsidR="00B21714" w:rsidRPr="00877D69">
              <w:rPr>
                <w:b/>
                <w:bCs/>
                <w:sz w:val="20"/>
                <w:szCs w:val="20"/>
              </w:rPr>
              <w:t>:</w:t>
            </w:r>
            <w:r w:rsidR="00B21714">
              <w:rPr>
                <w:sz w:val="20"/>
                <w:szCs w:val="20"/>
              </w:rPr>
              <w:t xml:space="preserve"> Criminal Justice Mass Incarceration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A940E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55E3F9C2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CF026" w14:textId="08CE50AD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15</w:t>
            </w:r>
            <w:r w:rsidR="00877D69" w:rsidRPr="00877D69">
              <w:rPr>
                <w:b/>
                <w:bCs/>
                <w:sz w:val="20"/>
                <w:szCs w:val="20"/>
              </w:rPr>
              <w:t>:</w:t>
            </w:r>
            <w:r w:rsidR="00877D69">
              <w:rPr>
                <w:sz w:val="20"/>
                <w:szCs w:val="20"/>
              </w:rPr>
              <w:t xml:space="preserve"> Voting Suppression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5A5BC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24F18E70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A453E" w14:textId="77777777" w:rsidR="00D0098C" w:rsidRDefault="00D0098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Summary </w:t>
            </w:r>
            <w:r w:rsidRPr="00266208">
              <w:rPr>
                <w:b/>
                <w:bCs/>
                <w:sz w:val="20"/>
                <w:szCs w:val="20"/>
              </w:rPr>
              <w:t>Week 3</w:t>
            </w:r>
          </w:p>
          <w:p w14:paraId="1DFE025C" w14:textId="24868508" w:rsidR="00FB03EE" w:rsidRPr="00266208" w:rsidRDefault="00FB03EE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7270A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47CD245C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166DD" w14:textId="6B65FD77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16</w:t>
            </w:r>
            <w:r w:rsidR="00877D69">
              <w:rPr>
                <w:sz w:val="20"/>
                <w:szCs w:val="20"/>
              </w:rPr>
              <w:t>: Building a Culture of Equity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BE496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756A5218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8BD68" w14:textId="3A3084E3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17</w:t>
            </w:r>
            <w:r w:rsidR="00877D69" w:rsidRPr="00877D69">
              <w:rPr>
                <w:b/>
                <w:bCs/>
                <w:sz w:val="20"/>
                <w:szCs w:val="20"/>
              </w:rPr>
              <w:t>:</w:t>
            </w:r>
            <w:r w:rsidR="00877D69">
              <w:rPr>
                <w:sz w:val="20"/>
                <w:szCs w:val="20"/>
              </w:rPr>
              <w:t xml:space="preserve"> Courageous Conversations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7EA74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069E05BE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C6519" w14:textId="2A6202AC" w:rsidR="00D0098C" w:rsidRPr="00E07E2C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18</w:t>
            </w:r>
            <w:r w:rsidR="00877D69" w:rsidRPr="00877D69">
              <w:rPr>
                <w:b/>
                <w:bCs/>
                <w:sz w:val="20"/>
                <w:szCs w:val="20"/>
              </w:rPr>
              <w:t>:</w:t>
            </w:r>
            <w:r w:rsidR="00877D69">
              <w:rPr>
                <w:sz w:val="20"/>
                <w:szCs w:val="20"/>
              </w:rPr>
              <w:t xml:space="preserve"> Changing the Narrative and Advancing Justice through Asset Framing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49FAA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73131A22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FA59" w14:textId="172899FA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19</w:t>
            </w:r>
            <w:r w:rsidR="00877D69" w:rsidRPr="00877D69">
              <w:rPr>
                <w:b/>
                <w:bCs/>
                <w:sz w:val="20"/>
                <w:szCs w:val="20"/>
              </w:rPr>
              <w:t>:</w:t>
            </w:r>
            <w:r w:rsidR="00877D69">
              <w:rPr>
                <w:sz w:val="20"/>
                <w:szCs w:val="20"/>
              </w:rPr>
              <w:t xml:space="preserve"> Allies and Accomplices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4343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37B8E173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7E6B" w14:textId="44F7B014" w:rsidR="00D0098C" w:rsidRPr="00605CA9" w:rsidRDefault="00D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77D69">
              <w:rPr>
                <w:b/>
                <w:bCs/>
                <w:sz w:val="20"/>
                <w:szCs w:val="20"/>
              </w:rPr>
              <w:t>Day 20</w:t>
            </w:r>
            <w:r w:rsidR="00877D69" w:rsidRPr="00877D69">
              <w:rPr>
                <w:b/>
                <w:bCs/>
                <w:sz w:val="20"/>
                <w:szCs w:val="20"/>
              </w:rPr>
              <w:t>:</w:t>
            </w:r>
            <w:r w:rsidR="00877D69">
              <w:rPr>
                <w:sz w:val="20"/>
                <w:szCs w:val="20"/>
              </w:rPr>
              <w:t xml:space="preserve"> </w:t>
            </w:r>
            <w:proofErr w:type="gramStart"/>
            <w:r w:rsidR="00877D69">
              <w:rPr>
                <w:sz w:val="20"/>
                <w:szCs w:val="20"/>
              </w:rPr>
              <w:t>Taking Action</w:t>
            </w:r>
            <w:proofErr w:type="gramEnd"/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F384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0098C" w14:paraId="079C887E" w14:textId="77777777" w:rsidTr="00B21714">
        <w:trPr>
          <w:jc w:val="center"/>
        </w:trPr>
        <w:tc>
          <w:tcPr>
            <w:tcW w:w="2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4923" w14:textId="77777777" w:rsidR="00D0098C" w:rsidRDefault="00D0098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Summary </w:t>
            </w:r>
            <w:r w:rsidRPr="00266208">
              <w:rPr>
                <w:b/>
                <w:bCs/>
                <w:sz w:val="20"/>
                <w:szCs w:val="20"/>
              </w:rPr>
              <w:t>Week 4</w:t>
            </w:r>
          </w:p>
          <w:p w14:paraId="66140663" w14:textId="6D2AD7CA" w:rsidR="00877D69" w:rsidRPr="00266208" w:rsidRDefault="00877D69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DB08" w14:textId="77777777" w:rsidR="00D0098C" w:rsidRDefault="00D0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C4774C3" w14:textId="77777777" w:rsidR="00266208" w:rsidRDefault="00266208" w:rsidP="00CA6020">
      <w:pPr>
        <w:ind w:left="270"/>
        <w:rPr>
          <w:rFonts w:asciiTheme="minorHAnsi" w:hAnsiTheme="minorHAnsi"/>
          <w:b/>
          <w:bCs/>
          <w:sz w:val="22"/>
          <w:szCs w:val="22"/>
        </w:rPr>
      </w:pPr>
    </w:p>
    <w:p w14:paraId="441724C7" w14:textId="77777777" w:rsidR="00FB03EE" w:rsidRDefault="00FB03EE" w:rsidP="00CA6020">
      <w:pPr>
        <w:ind w:left="270"/>
        <w:rPr>
          <w:rFonts w:asciiTheme="minorHAnsi" w:hAnsiTheme="minorHAnsi"/>
          <w:b/>
          <w:bCs/>
          <w:sz w:val="22"/>
          <w:szCs w:val="22"/>
        </w:rPr>
      </w:pPr>
    </w:p>
    <w:p w14:paraId="3774E30A" w14:textId="77777777" w:rsidR="00FB03EE" w:rsidRDefault="00FB03EE" w:rsidP="00CA6020">
      <w:pPr>
        <w:ind w:left="270"/>
        <w:rPr>
          <w:rFonts w:asciiTheme="minorHAnsi" w:hAnsiTheme="minorHAnsi"/>
          <w:b/>
          <w:bCs/>
          <w:sz w:val="22"/>
          <w:szCs w:val="22"/>
        </w:rPr>
      </w:pPr>
    </w:p>
    <w:p w14:paraId="44FC7737" w14:textId="77777777" w:rsidR="00FB03EE" w:rsidRDefault="00FB03EE" w:rsidP="00CA6020">
      <w:pPr>
        <w:ind w:left="270"/>
        <w:rPr>
          <w:rFonts w:asciiTheme="minorHAnsi" w:hAnsiTheme="minorHAnsi"/>
          <w:b/>
          <w:bCs/>
          <w:sz w:val="22"/>
          <w:szCs w:val="22"/>
        </w:rPr>
      </w:pPr>
    </w:p>
    <w:p w14:paraId="6876E96D" w14:textId="77777777" w:rsidR="00FB03EE" w:rsidRDefault="00FB03EE" w:rsidP="00CA6020">
      <w:pPr>
        <w:ind w:left="270"/>
        <w:rPr>
          <w:rFonts w:asciiTheme="minorHAnsi" w:hAnsiTheme="minorHAnsi"/>
          <w:b/>
          <w:bCs/>
          <w:sz w:val="22"/>
          <w:szCs w:val="22"/>
        </w:rPr>
      </w:pPr>
    </w:p>
    <w:p w14:paraId="74CAE80A" w14:textId="77777777" w:rsidR="00FB03EE" w:rsidRDefault="00FB03EE" w:rsidP="00CA6020">
      <w:pPr>
        <w:ind w:left="270"/>
        <w:rPr>
          <w:rFonts w:asciiTheme="minorHAnsi" w:hAnsiTheme="minorHAnsi"/>
          <w:b/>
          <w:bCs/>
          <w:sz w:val="22"/>
          <w:szCs w:val="22"/>
        </w:rPr>
      </w:pPr>
    </w:p>
    <w:p w14:paraId="2E257707" w14:textId="77777777" w:rsidR="00FB03EE" w:rsidRDefault="00FB03EE" w:rsidP="00CA6020">
      <w:pPr>
        <w:ind w:left="270"/>
        <w:rPr>
          <w:rFonts w:asciiTheme="minorHAnsi" w:hAnsiTheme="minorHAnsi"/>
          <w:b/>
          <w:bCs/>
          <w:sz w:val="22"/>
          <w:szCs w:val="22"/>
        </w:rPr>
      </w:pPr>
    </w:p>
    <w:p w14:paraId="28500F4A" w14:textId="77777777" w:rsidR="00FB03EE" w:rsidRDefault="00FB03EE" w:rsidP="00CA6020">
      <w:pPr>
        <w:ind w:left="270"/>
        <w:rPr>
          <w:rFonts w:asciiTheme="minorHAnsi" w:hAnsiTheme="minorHAnsi"/>
          <w:b/>
          <w:bCs/>
          <w:sz w:val="22"/>
          <w:szCs w:val="22"/>
        </w:rPr>
      </w:pPr>
    </w:p>
    <w:p w14:paraId="71B49589" w14:textId="77777777" w:rsidR="00FB03EE" w:rsidRDefault="00FB03EE" w:rsidP="00CA6020">
      <w:pPr>
        <w:ind w:left="270"/>
        <w:rPr>
          <w:rFonts w:asciiTheme="minorHAnsi" w:hAnsiTheme="minorHAnsi"/>
          <w:b/>
          <w:bCs/>
          <w:sz w:val="22"/>
          <w:szCs w:val="22"/>
        </w:rPr>
      </w:pPr>
    </w:p>
    <w:p w14:paraId="30461778" w14:textId="77777777" w:rsidR="00FB03EE" w:rsidRDefault="00FB03EE" w:rsidP="00CA6020">
      <w:pPr>
        <w:ind w:left="270"/>
        <w:rPr>
          <w:rFonts w:asciiTheme="minorHAnsi" w:hAnsiTheme="minorHAnsi"/>
          <w:b/>
          <w:bCs/>
          <w:sz w:val="22"/>
          <w:szCs w:val="22"/>
        </w:rPr>
      </w:pPr>
    </w:p>
    <w:p w14:paraId="569BD363" w14:textId="77777777" w:rsidR="00FB03EE" w:rsidRDefault="00FB03EE" w:rsidP="00CA6020">
      <w:pPr>
        <w:ind w:left="270"/>
        <w:rPr>
          <w:rFonts w:asciiTheme="minorHAnsi" w:hAnsiTheme="minorHAnsi"/>
          <w:b/>
          <w:bCs/>
          <w:sz w:val="22"/>
          <w:szCs w:val="22"/>
        </w:rPr>
      </w:pPr>
    </w:p>
    <w:p w14:paraId="07039DA5" w14:textId="77777777" w:rsidR="00FB03EE" w:rsidRDefault="00FB03EE" w:rsidP="00CA6020">
      <w:pPr>
        <w:ind w:left="270"/>
        <w:rPr>
          <w:rFonts w:asciiTheme="minorHAnsi" w:hAnsiTheme="minorHAnsi"/>
          <w:b/>
          <w:bCs/>
          <w:sz w:val="22"/>
          <w:szCs w:val="22"/>
        </w:rPr>
      </w:pPr>
    </w:p>
    <w:p w14:paraId="1B6BB81D" w14:textId="33094E0A" w:rsidR="00CA6020" w:rsidRPr="00CA6020" w:rsidRDefault="00CA6020" w:rsidP="00CA6020">
      <w:pPr>
        <w:ind w:left="270"/>
        <w:rPr>
          <w:rFonts w:asciiTheme="minorHAnsi" w:hAnsiTheme="minorHAnsi"/>
          <w:sz w:val="22"/>
          <w:szCs w:val="22"/>
        </w:rPr>
      </w:pPr>
      <w:r w:rsidRPr="00CA6020">
        <w:rPr>
          <w:rFonts w:asciiTheme="minorHAnsi" w:hAnsiTheme="minorHAnsi"/>
          <w:b/>
          <w:bCs/>
          <w:sz w:val="22"/>
          <w:szCs w:val="22"/>
        </w:rPr>
        <w:lastRenderedPageBreak/>
        <w:t>Day 21:</w:t>
      </w:r>
      <w:r w:rsidRPr="00CA6020">
        <w:rPr>
          <w:rFonts w:asciiTheme="minorHAnsi" w:hAnsiTheme="minorHAnsi"/>
          <w:sz w:val="22"/>
          <w:szCs w:val="22"/>
        </w:rPr>
        <w:t xml:space="preserve">  </w:t>
      </w:r>
      <w:r w:rsidRPr="00CA6020">
        <w:rPr>
          <w:rFonts w:asciiTheme="minorHAnsi" w:eastAsia="Times New Roman" w:hAnsiTheme="minorHAnsi" w:cs="Calibri"/>
          <w:b/>
          <w:bCs/>
          <w:color w:val="000000"/>
          <w:sz w:val="22"/>
          <w:szCs w:val="22"/>
          <w:lang w:val="en-US"/>
        </w:rPr>
        <w:t>My Commitment </w:t>
      </w:r>
    </w:p>
    <w:p w14:paraId="0E82FB9E" w14:textId="3F2F9545" w:rsidR="00CA6020" w:rsidRPr="00CA6020" w:rsidRDefault="00CA6020" w:rsidP="00CA6020">
      <w:pPr>
        <w:spacing w:after="160" w:line="240" w:lineRule="auto"/>
        <w:ind w:left="270"/>
        <w:rPr>
          <w:rFonts w:asciiTheme="minorHAnsi" w:eastAsia="Times New Roman" w:hAnsiTheme="minorHAnsi" w:cs="Times New Roman"/>
          <w:sz w:val="22"/>
          <w:szCs w:val="22"/>
          <w:lang w:val="en-US"/>
        </w:rPr>
      </w:pPr>
      <w:r w:rsidRPr="00CA6020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 xml:space="preserve">Over the past 21 days, you have participated in </w:t>
      </w:r>
      <w:r w:rsidR="00E07E2C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 xml:space="preserve">CA4Health’s </w:t>
      </w:r>
      <w:r w:rsidRPr="00CA6020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>Racial Equity &amp; Social Justice Challenge. Now it is time for you to consider how you will continue to engage in these issues</w:t>
      </w:r>
      <w:r w:rsidR="00D0098C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 xml:space="preserve">, </w:t>
      </w:r>
      <w:r w:rsidR="000B6D64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>areas for further learning</w:t>
      </w:r>
      <w:r w:rsidR="00D0098C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 xml:space="preserve"> and </w:t>
      </w:r>
      <w:r w:rsidR="0062135E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>individual and/or group actions</w:t>
      </w:r>
      <w:r w:rsidRPr="00CA6020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 xml:space="preserve">. Identify some commitments you’d like to make </w:t>
      </w:r>
      <w:r w:rsidR="00891534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>and</w:t>
      </w:r>
      <w:r w:rsidRPr="00CA6020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 xml:space="preserve"> </w:t>
      </w:r>
      <w:r w:rsidR="0062135E" w:rsidRPr="00CA6020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>maintain</w:t>
      </w:r>
      <w:r w:rsidRPr="00CA6020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 xml:space="preserve"> part of the solution</w:t>
      </w:r>
      <w:r w:rsidR="000B6D64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>!</w:t>
      </w:r>
    </w:p>
    <w:tbl>
      <w:tblPr>
        <w:tblW w:w="13860" w:type="dxa"/>
        <w:tblInd w:w="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0"/>
      </w:tblGrid>
      <w:tr w:rsidR="00CA6020" w:rsidRPr="00CA6020" w14:paraId="14B6AB62" w14:textId="77777777" w:rsidTr="00CA6020">
        <w:tc>
          <w:tcPr>
            <w:tcW w:w="1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B9006" w14:textId="6FBD267D" w:rsidR="00CA6020" w:rsidRDefault="00CA6020" w:rsidP="00CA6020">
            <w:pPr>
              <w:spacing w:line="240" w:lineRule="auto"/>
              <w:rPr>
                <w:rFonts w:asciiTheme="minorHAnsi" w:eastAsia="Times New Roman" w:hAnsiTheme="minorHAns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A6020">
              <w:rPr>
                <w:rFonts w:asciiTheme="minorHAnsi" w:eastAsia="Times New Roman" w:hAnsiTheme="minorHAnsi" w:cs="Calibri"/>
                <w:i/>
                <w:iCs/>
                <w:color w:val="000000"/>
                <w:sz w:val="22"/>
                <w:szCs w:val="22"/>
                <w:lang w:val="en-US"/>
              </w:rPr>
              <w:t>In the next 48 hours, I will: </w:t>
            </w:r>
          </w:p>
          <w:p w14:paraId="467A8917" w14:textId="77777777" w:rsidR="00CA6020" w:rsidRPr="00CA6020" w:rsidRDefault="00CA6020" w:rsidP="00CA6020">
            <w:pPr>
              <w:spacing w:line="240" w:lineRule="auto"/>
              <w:rPr>
                <w:rFonts w:asciiTheme="minorHAnsi" w:eastAsia="Times New Roman" w:hAnsiTheme="minorHAnsi" w:cs="Times New Roman"/>
                <w:lang w:val="en-US"/>
              </w:rPr>
            </w:pPr>
          </w:p>
          <w:p w14:paraId="023DB789" w14:textId="561D4A1E" w:rsidR="00CA6020" w:rsidRPr="00CA6020" w:rsidRDefault="00CA6020" w:rsidP="00CA6020">
            <w:pPr>
              <w:spacing w:line="240" w:lineRule="auto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CA6020" w:rsidRPr="00CA6020" w14:paraId="4B460DBA" w14:textId="77777777" w:rsidTr="00CA6020">
        <w:tc>
          <w:tcPr>
            <w:tcW w:w="1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99350" w14:textId="6F70B741" w:rsidR="00CA6020" w:rsidRPr="00CA6020" w:rsidRDefault="00CA6020" w:rsidP="00CA6020">
            <w:pPr>
              <w:spacing w:line="240" w:lineRule="auto"/>
              <w:rPr>
                <w:rFonts w:asciiTheme="minorHAnsi" w:eastAsia="Times New Roman" w:hAnsiTheme="minorHAns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A6020">
              <w:rPr>
                <w:rFonts w:asciiTheme="minorHAnsi" w:eastAsia="Times New Roman" w:hAnsiTheme="minorHAnsi" w:cs="Calibri"/>
                <w:i/>
                <w:iCs/>
                <w:color w:val="000000"/>
                <w:sz w:val="22"/>
                <w:szCs w:val="22"/>
                <w:lang w:val="en-US"/>
              </w:rPr>
              <w:t>In the next week, I will: </w:t>
            </w:r>
          </w:p>
          <w:p w14:paraId="52332F73" w14:textId="77777777" w:rsidR="00CA6020" w:rsidRPr="00CA6020" w:rsidRDefault="00CA6020" w:rsidP="00CA6020">
            <w:pPr>
              <w:spacing w:line="240" w:lineRule="auto"/>
              <w:ind w:left="270"/>
              <w:rPr>
                <w:rFonts w:asciiTheme="minorHAnsi" w:eastAsia="Times New Roman" w:hAnsiTheme="minorHAnsi" w:cs="Times New Roman"/>
                <w:lang w:val="en-US"/>
              </w:rPr>
            </w:pPr>
          </w:p>
          <w:p w14:paraId="3BF54432" w14:textId="77777777" w:rsidR="00CA6020" w:rsidRPr="00CA6020" w:rsidRDefault="00CA6020" w:rsidP="00CA6020">
            <w:pPr>
              <w:spacing w:after="240" w:line="240" w:lineRule="auto"/>
              <w:ind w:left="270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CA6020" w:rsidRPr="00CA6020" w14:paraId="449A7449" w14:textId="77777777" w:rsidTr="00CA6020">
        <w:tc>
          <w:tcPr>
            <w:tcW w:w="1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9710F" w14:textId="1CC803EB" w:rsidR="00CA6020" w:rsidRPr="00CA6020" w:rsidRDefault="00CA6020" w:rsidP="00CA6020">
            <w:pPr>
              <w:spacing w:line="240" w:lineRule="auto"/>
              <w:rPr>
                <w:rFonts w:asciiTheme="minorHAnsi" w:eastAsia="Times New Roman" w:hAnsiTheme="minorHAns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A6020">
              <w:rPr>
                <w:rFonts w:asciiTheme="minorHAnsi" w:eastAsia="Times New Roman" w:hAnsiTheme="minorHAnsi" w:cs="Calibri"/>
                <w:i/>
                <w:iCs/>
                <w:color w:val="000000"/>
                <w:sz w:val="22"/>
                <w:szCs w:val="22"/>
                <w:lang w:val="en-US"/>
              </w:rPr>
              <w:t xml:space="preserve">Over the next </w:t>
            </w:r>
            <w:r w:rsidR="00921BD9">
              <w:rPr>
                <w:rFonts w:asciiTheme="minorHAnsi" w:eastAsia="Times New Roman" w:hAnsiTheme="minorHAnsi" w:cs="Calibri"/>
                <w:i/>
                <w:iCs/>
                <w:color w:val="000000"/>
                <w:sz w:val="22"/>
                <w:szCs w:val="22"/>
                <w:lang w:val="en-US"/>
              </w:rPr>
              <w:t>1-</w:t>
            </w:r>
            <w:r w:rsidRPr="00CA6020">
              <w:rPr>
                <w:rFonts w:asciiTheme="minorHAnsi" w:eastAsia="Times New Roman" w:hAnsiTheme="minorHAnsi" w:cs="Calibri"/>
                <w:i/>
                <w:iCs/>
                <w:color w:val="000000"/>
                <w:sz w:val="22"/>
                <w:szCs w:val="22"/>
                <w:lang w:val="en-US"/>
              </w:rPr>
              <w:t>3 months, I will: </w:t>
            </w:r>
          </w:p>
          <w:p w14:paraId="51918161" w14:textId="77777777" w:rsidR="00CA6020" w:rsidRPr="00CA6020" w:rsidRDefault="00CA6020" w:rsidP="00CA6020">
            <w:pPr>
              <w:spacing w:line="240" w:lineRule="auto"/>
              <w:ind w:left="270"/>
              <w:rPr>
                <w:rFonts w:asciiTheme="minorHAnsi" w:eastAsia="Times New Roman" w:hAnsiTheme="minorHAnsi" w:cs="Times New Roman"/>
                <w:lang w:val="en-US"/>
              </w:rPr>
            </w:pPr>
          </w:p>
          <w:p w14:paraId="08C33A26" w14:textId="77777777" w:rsidR="00CA6020" w:rsidRPr="00CA6020" w:rsidRDefault="00CA6020" w:rsidP="00CA6020">
            <w:pPr>
              <w:spacing w:after="240" w:line="240" w:lineRule="auto"/>
              <w:ind w:left="270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</w:tbl>
    <w:p w14:paraId="5292252B" w14:textId="77777777" w:rsidR="00877D69" w:rsidRDefault="00877D69" w:rsidP="00E07E2C">
      <w:pPr>
        <w:rPr>
          <w:b/>
          <w:bCs/>
          <w:u w:val="single"/>
        </w:rPr>
      </w:pPr>
    </w:p>
    <w:p w14:paraId="4710E72E" w14:textId="6608D46C" w:rsidR="00835C74" w:rsidRDefault="00835C74" w:rsidP="00E07E2C">
      <w:pPr>
        <w:rPr>
          <w:b/>
          <w:bCs/>
          <w:u w:val="single"/>
        </w:rPr>
      </w:pPr>
      <w:r w:rsidRPr="00835C74">
        <w:rPr>
          <w:b/>
          <w:bCs/>
          <w:u w:val="single"/>
        </w:rPr>
        <w:t xml:space="preserve">Add additional reflections, questions, </w:t>
      </w:r>
      <w:r w:rsidR="00877D69" w:rsidRPr="00835C74">
        <w:rPr>
          <w:b/>
          <w:bCs/>
          <w:u w:val="single"/>
        </w:rPr>
        <w:t>comments,</w:t>
      </w:r>
      <w:r w:rsidRPr="00835C74">
        <w:rPr>
          <w:b/>
          <w:bCs/>
          <w:u w:val="single"/>
        </w:rPr>
        <w:t xml:space="preserve"> and notes:</w:t>
      </w:r>
    </w:p>
    <w:p w14:paraId="2ABA03DF" w14:textId="77777777" w:rsidR="00814F7F" w:rsidRPr="00835C74" w:rsidRDefault="00814F7F" w:rsidP="00CA6020">
      <w:pPr>
        <w:ind w:left="270"/>
        <w:rPr>
          <w:b/>
          <w:bCs/>
          <w:u w:val="single"/>
        </w:rPr>
      </w:pPr>
    </w:p>
    <w:sectPr w:rsidR="00814F7F" w:rsidRPr="00835C74" w:rsidSect="00605CA9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44EC" w14:textId="77777777" w:rsidR="009C4A53" w:rsidRDefault="009C4A53" w:rsidP="00E07E2C">
      <w:pPr>
        <w:spacing w:line="240" w:lineRule="auto"/>
      </w:pPr>
      <w:r>
        <w:separator/>
      </w:r>
    </w:p>
  </w:endnote>
  <w:endnote w:type="continuationSeparator" w:id="0">
    <w:p w14:paraId="42FE6E0B" w14:textId="77777777" w:rsidR="009C4A53" w:rsidRDefault="009C4A53" w:rsidP="00E07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C028" w14:textId="1C6B04A4" w:rsidR="00D0098C" w:rsidRDefault="00D0098C" w:rsidP="00D0098C">
    <w:pPr>
      <w:pStyle w:val="Footer"/>
      <w:ind w:left="1440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56E7" w14:textId="77777777" w:rsidR="009C4A53" w:rsidRDefault="009C4A53" w:rsidP="00E07E2C">
      <w:pPr>
        <w:spacing w:line="240" w:lineRule="auto"/>
      </w:pPr>
      <w:r>
        <w:separator/>
      </w:r>
    </w:p>
  </w:footnote>
  <w:footnote w:type="continuationSeparator" w:id="0">
    <w:p w14:paraId="79CA5A6D" w14:textId="77777777" w:rsidR="009C4A53" w:rsidRDefault="009C4A53" w:rsidP="00E07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B285" w14:textId="3E916694" w:rsidR="00D0098C" w:rsidRDefault="00D0098C">
    <w:pPr>
      <w:pStyle w:val="Header"/>
      <w:jc w:val="right"/>
    </w:pPr>
  </w:p>
  <w:p w14:paraId="301A4C8E" w14:textId="0F58CED6" w:rsidR="00E07E2C" w:rsidRDefault="00E07E2C" w:rsidP="00E07E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3AF7"/>
    <w:multiLevelType w:val="hybridMultilevel"/>
    <w:tmpl w:val="0E12287C"/>
    <w:lvl w:ilvl="0" w:tplc="830CF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5E38"/>
    <w:multiLevelType w:val="hybridMultilevel"/>
    <w:tmpl w:val="A944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79C5"/>
    <w:multiLevelType w:val="hybridMultilevel"/>
    <w:tmpl w:val="3EDCD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564DAF"/>
    <w:multiLevelType w:val="hybridMultilevel"/>
    <w:tmpl w:val="DCAC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576887">
    <w:abstractNumId w:val="2"/>
  </w:num>
  <w:num w:numId="2" w16cid:durableId="1112015121">
    <w:abstractNumId w:val="1"/>
  </w:num>
  <w:num w:numId="3" w16cid:durableId="602107624">
    <w:abstractNumId w:val="3"/>
  </w:num>
  <w:num w:numId="4" w16cid:durableId="126072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EA"/>
    <w:rsid w:val="00014F37"/>
    <w:rsid w:val="000173EA"/>
    <w:rsid w:val="00041765"/>
    <w:rsid w:val="000B6D64"/>
    <w:rsid w:val="000E350F"/>
    <w:rsid w:val="00115F0E"/>
    <w:rsid w:val="0014531B"/>
    <w:rsid w:val="00163209"/>
    <w:rsid w:val="00247CA9"/>
    <w:rsid w:val="00252E26"/>
    <w:rsid w:val="00266208"/>
    <w:rsid w:val="003822FC"/>
    <w:rsid w:val="003E4646"/>
    <w:rsid w:val="003F1E73"/>
    <w:rsid w:val="004447C1"/>
    <w:rsid w:val="00497A1F"/>
    <w:rsid w:val="004F1F69"/>
    <w:rsid w:val="005231DC"/>
    <w:rsid w:val="00605CA9"/>
    <w:rsid w:val="0062135E"/>
    <w:rsid w:val="00622645"/>
    <w:rsid w:val="00656A8A"/>
    <w:rsid w:val="006C569E"/>
    <w:rsid w:val="006E303A"/>
    <w:rsid w:val="006F1A87"/>
    <w:rsid w:val="006F72F5"/>
    <w:rsid w:val="00741A3D"/>
    <w:rsid w:val="00814F7F"/>
    <w:rsid w:val="00835C74"/>
    <w:rsid w:val="00877D69"/>
    <w:rsid w:val="00891534"/>
    <w:rsid w:val="008A3310"/>
    <w:rsid w:val="008C7A02"/>
    <w:rsid w:val="008E5696"/>
    <w:rsid w:val="00917A14"/>
    <w:rsid w:val="00921BD9"/>
    <w:rsid w:val="00944398"/>
    <w:rsid w:val="009C4A53"/>
    <w:rsid w:val="009D15F0"/>
    <w:rsid w:val="00A02FC5"/>
    <w:rsid w:val="00A3193A"/>
    <w:rsid w:val="00B21714"/>
    <w:rsid w:val="00B55156"/>
    <w:rsid w:val="00BC6AE1"/>
    <w:rsid w:val="00BE30AB"/>
    <w:rsid w:val="00BE7A99"/>
    <w:rsid w:val="00C33AF8"/>
    <w:rsid w:val="00C91034"/>
    <w:rsid w:val="00CA13A4"/>
    <w:rsid w:val="00CA6020"/>
    <w:rsid w:val="00CF0253"/>
    <w:rsid w:val="00D0098C"/>
    <w:rsid w:val="00D43E6A"/>
    <w:rsid w:val="00D9314D"/>
    <w:rsid w:val="00E07E2C"/>
    <w:rsid w:val="00E46CEA"/>
    <w:rsid w:val="00F71AE9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D142"/>
  <w15:docId w15:val="{73359056-91EE-4628-BCC2-6464A73F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3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26620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662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E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2C"/>
  </w:style>
  <w:style w:type="paragraph" w:styleId="Footer">
    <w:name w:val="footer"/>
    <w:basedOn w:val="Normal"/>
    <w:link w:val="FooterChar"/>
    <w:uiPriority w:val="99"/>
    <w:unhideWhenUsed/>
    <w:rsid w:val="00E07E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odsolutionsne.org/21-day-racial-equity-habit-building-challen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Christina Lane</cp:lastModifiedBy>
  <cp:revision>2</cp:revision>
  <dcterms:created xsi:type="dcterms:W3CDTF">2022-05-17T18:58:00Z</dcterms:created>
  <dcterms:modified xsi:type="dcterms:W3CDTF">2022-05-17T18:58:00Z</dcterms:modified>
</cp:coreProperties>
</file>